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SPECIAL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 xml:space="preserve">Public Meeting at 22651 S. Valencia Ave, Queen Creek AZ at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7:00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March 13, 2024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New Business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No meeting with ADWR regarding our rights vis a vis wildcat builders in District</w:t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Site Survey, Maricopa County Environmental Services</w:t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Nexstar Development on Hunt Highway – concrete poured into irrigation risers</w:t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CHCID History book copies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Read and approve January meeting minutes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SWC Power and Riggs Car Wash – Additional information requested from the customer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ascii="Times New Roman" w:hAnsi="Times New Roman"/>
        </w:rPr>
        <w:t>Easement lawsuit.</w:t>
      </w:r>
      <w:r>
        <w:rPr>
          <w:rFonts w:eastAsia="Calibri" w:cs="Arial" w:ascii="Times New Roman" w:hAnsi="Times New Roman"/>
          <w:color w:val="000000"/>
          <w:kern w:val="0"/>
          <w:sz w:val="22"/>
          <w:szCs w:val="22"/>
          <w:lang w:val="en-US" w:eastAsia="zh-CN" w:bidi="ar-SA"/>
        </w:rPr>
        <w:t>Hearing Scheduled for May 10, 2024</w:t>
      </w:r>
      <w:r>
        <w:rPr>
          <w:rFonts w:ascii="Times New Roman" w:hAnsi="Times New Roman"/>
        </w:rPr>
        <w:t xml:space="preserve">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ascii="Times New Roman" w:hAnsi="Times New Roman"/>
        </w:rPr>
        <w:t>Dirt dumping in easement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Met with Town of Queen Creek to ensure </w:t>
      </w:r>
      <w:r>
        <w:rPr>
          <w:rFonts w:eastAsia="Times New Roman" w:cs="Mongolian Baiti" w:ascii="Mongolian Baiti" w:hAnsi="Mongolian Baiti"/>
          <w:b w:val="false"/>
          <w:bCs w:val="false"/>
          <w:i w:val="false"/>
          <w:caps w:val="false"/>
          <w:smallCaps w:val="false"/>
          <w:color w:val="242424"/>
          <w:spacing w:val="0"/>
          <w:kern w:val="0"/>
          <w:sz w:val="23"/>
          <w:szCs w:val="22"/>
          <w:u w:val="none"/>
          <w:lang w:val="en-US" w:eastAsia="zh-CN" w:bidi="ar-SA"/>
        </w:rPr>
        <w:t>they do not ever grant sewer or water options to land owners in the water district without talking to the CHCID board first.</w:t>
      </w:r>
      <w:r>
        <w:rPr>
          <w:rFonts w:eastAsia="Times New Roman" w:cs="Mongolian Baiti" w:ascii="Segoe UI;Segoe UI Web (West European);Segoe UI;apple-system;BlinkMacSystemFont;Roboto;Helvetica Neue;sans-serif" w:hAnsi="Segoe UI;Segoe UI Web (West European);Segoe UI;apple-system;BlinkMacSystemFont;Roboto;Helvetica Neue;sans-serif"/>
          <w:b w:val="false"/>
          <w:bCs w:val="false"/>
          <w:i w:val="false"/>
          <w:caps w:val="false"/>
          <w:smallCaps w:val="false"/>
          <w:color w:val="242424"/>
          <w:spacing w:val="0"/>
          <w:kern w:val="0"/>
          <w:sz w:val="23"/>
          <w:szCs w:val="22"/>
          <w:u w:val="none"/>
          <w:lang w:val="en-US" w:eastAsia="zh-CN" w:bidi="ar-SA"/>
        </w:rPr>
        <w:t> 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Backhoe Warranty Update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March 13,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2024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I hereby certify that this agenda was posted by 1:00pm on the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12t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March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, 2024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Mongolian Baiti">
    <w:charset w:val="00"/>
    <w:family w:val="roman"/>
    <w:pitch w:val="variable"/>
  </w:font>
  <w:font w:name="Segoe UI">
    <w:altName w:val="Segoe UI Web (West European)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29142</TotalTime>
  <Application>LibreOffice/7.1.5.2$Windows_X86_64 LibreOffice_project/85f04e9f809797b8199d13c421bd8a2b025d52b5</Application>
  <AppVersion>15.0000</AppVersion>
  <Pages>1</Pages>
  <Words>271</Words>
  <Characters>1361</Characters>
  <CharactersWithSpaces>1609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2024-03-10T07:48:58Z</dcterms:modified>
  <cp:revision>96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