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19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 xml:space="preserve">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April 9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2025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Unfinished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Approve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March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 – Mr. Mike Norby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Cameras at Stacey easement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ADWR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Pre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Application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Meeting Results 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M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eeting with Mark Stewart, Maricopa County Board of Supervisors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Cost estimate for new water tank, discuss location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/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Executive Session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April 9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2025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>I hereby certify that this agenda was posted by 1:00pm on the 11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March, 2025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sz w:val="16"/>
          <w:szCs w:val="16"/>
        </w:rPr>
        <w:t>at the following location: 266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19</w:t>
      </w:r>
      <w:r>
        <w:rPr>
          <w:rFonts w:cs="Times New Roman" w:ascii="Times New Roman" w:hAnsi="Times New Roman"/>
          <w:b/>
          <w:sz w:val="16"/>
          <w:szCs w:val="16"/>
        </w:rPr>
        <w:t xml:space="preserve">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59358</TotalTime>
  <Application>LibreOffice/7.1.5.2$Windows_X86_64 LibreOffice_project/85f04e9f809797b8199d13c421bd8a2b025d52b5</Application>
  <AppVersion>15.0000</AppVersion>
  <Pages>1</Pages>
  <Words>214</Words>
  <Characters>1092</Characters>
  <CharactersWithSpaces>1288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2025-02-12T11:25:07Z</cp:lastPrinted>
  <dcterms:modified xsi:type="dcterms:W3CDTF">2025-04-08T11:21:54Z</dcterms:modified>
  <cp:revision>161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